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AE" w:rsidRPr="002720B0" w:rsidRDefault="002E0AAE" w:rsidP="002E0AAE">
      <w:pPr>
        <w:jc w:val="both"/>
        <w:rPr>
          <w:rFonts w:ascii="Bookman Old Style" w:hAnsi="Bookman Old Style" w:cs="Tahoma"/>
          <w:b/>
          <w:iCs/>
        </w:rPr>
      </w:pPr>
      <w:r w:rsidRPr="002720B0">
        <w:rPr>
          <w:rFonts w:ascii="Bookman Old Style" w:hAnsi="Bookman Old Style" w:cs="Tahoma"/>
          <w:b/>
          <w:iCs/>
        </w:rPr>
        <w:t xml:space="preserve">EXPEDIENTE Nº </w:t>
      </w:r>
      <w:r>
        <w:rPr>
          <w:rFonts w:ascii="Bookman Old Style" w:hAnsi="Bookman Old Style" w:cs="Tahoma"/>
          <w:b/>
          <w:iCs/>
        </w:rPr>
        <w:t>20357-2012-0</w:t>
      </w:r>
    </w:p>
    <w:p w:rsidR="002E0AAE" w:rsidRPr="002720B0" w:rsidRDefault="002E0AAE" w:rsidP="002E0AAE">
      <w:pPr>
        <w:jc w:val="both"/>
        <w:rPr>
          <w:rFonts w:ascii="Bookman Old Style" w:hAnsi="Bookman Old Style" w:cs="Tahoma"/>
          <w:b/>
          <w:iCs/>
        </w:rPr>
      </w:pPr>
      <w:r w:rsidRPr="002720B0">
        <w:rPr>
          <w:rFonts w:ascii="Bookman Old Style" w:hAnsi="Bookman Old Style" w:cs="Tahoma"/>
          <w:b/>
          <w:iCs/>
        </w:rPr>
        <w:t xml:space="preserve">CORTE SUPERIOR DE JUSTICIA DE LIMA </w:t>
      </w:r>
      <w:r w:rsidRPr="002720B0">
        <w:rPr>
          <w:rFonts w:ascii="Bookman Old Style" w:hAnsi="Bookman Old Style"/>
          <w:i/>
          <w:lang w:val="pt-BR"/>
        </w:rPr>
        <w:t xml:space="preserve"> </w:t>
      </w:r>
    </w:p>
    <w:p w:rsidR="002E0AAE" w:rsidRPr="002720B0" w:rsidRDefault="002E0AAE" w:rsidP="002E0AAE">
      <w:pPr>
        <w:jc w:val="both"/>
        <w:rPr>
          <w:rFonts w:ascii="Bookman Old Style" w:hAnsi="Bookman Old Style" w:cs="Tahoma"/>
          <w:b/>
          <w:iCs/>
        </w:rPr>
      </w:pPr>
      <w:r w:rsidRPr="002720B0">
        <w:rPr>
          <w:rFonts w:ascii="Bookman Old Style" w:hAnsi="Bookman Old Style" w:cs="Tahoma"/>
          <w:b/>
          <w:iCs/>
        </w:rPr>
        <w:t>DICTAMEN Nº                   -2014-MP-FN-1ªFSP.</w:t>
      </w:r>
    </w:p>
    <w:p w:rsidR="002E0AAE" w:rsidRPr="002720B0" w:rsidRDefault="002E0AAE" w:rsidP="002E0AAE">
      <w:pPr>
        <w:pStyle w:val="Textoindependiente2"/>
        <w:rPr>
          <w:i w:val="0"/>
          <w:sz w:val="24"/>
          <w:szCs w:val="24"/>
        </w:rPr>
      </w:pPr>
    </w:p>
    <w:p w:rsidR="002E0AAE" w:rsidRPr="002720B0" w:rsidRDefault="002E0AAE" w:rsidP="002E0AAE">
      <w:pPr>
        <w:jc w:val="both"/>
        <w:rPr>
          <w:rFonts w:ascii="Bookman Old Style" w:hAnsi="Bookman Old Style" w:cs="Tahoma"/>
          <w:b/>
          <w:iCs/>
        </w:rPr>
      </w:pPr>
    </w:p>
    <w:p w:rsidR="002E0AAE" w:rsidRPr="002720B0" w:rsidRDefault="002E0AAE" w:rsidP="002E0AAE">
      <w:pPr>
        <w:spacing w:line="360" w:lineRule="auto"/>
        <w:jc w:val="both"/>
        <w:rPr>
          <w:rFonts w:ascii="Bookman Old Style" w:hAnsi="Bookman Old Style" w:cs="Tahoma"/>
          <w:b/>
          <w:iCs/>
        </w:rPr>
      </w:pPr>
      <w:r w:rsidRPr="002720B0">
        <w:rPr>
          <w:rFonts w:ascii="Bookman Old Style" w:hAnsi="Bookman Old Style" w:cs="Tahoma"/>
          <w:b/>
          <w:iCs/>
        </w:rPr>
        <w:t>SEÑOR PRESIDENTE DE LA PRIMERA SALA</w:t>
      </w:r>
      <w:r>
        <w:rPr>
          <w:rFonts w:ascii="Bookman Old Style" w:hAnsi="Bookman Old Style" w:cs="Tahoma"/>
          <w:b/>
          <w:iCs/>
        </w:rPr>
        <w:t xml:space="preserve"> ESPECIALIZADA EN LO</w:t>
      </w:r>
      <w:r w:rsidRPr="002720B0">
        <w:rPr>
          <w:rFonts w:ascii="Bookman Old Style" w:hAnsi="Bookman Old Style" w:cs="Tahoma"/>
          <w:b/>
          <w:iCs/>
        </w:rPr>
        <w:t xml:space="preserve"> PENAL PARA PROCESOS CON REOS EN CÁRCEL DE LA CORTE SUPERIOR DE </w:t>
      </w:r>
      <w:r>
        <w:rPr>
          <w:rFonts w:ascii="Bookman Old Style" w:hAnsi="Bookman Old Style" w:cs="Tahoma"/>
          <w:b/>
          <w:iCs/>
        </w:rPr>
        <w:t>LIMA</w:t>
      </w:r>
      <w:r w:rsidRPr="002720B0">
        <w:rPr>
          <w:rFonts w:ascii="Bookman Old Style" w:hAnsi="Bookman Old Style" w:cs="Tahoma"/>
          <w:b/>
          <w:iCs/>
        </w:rPr>
        <w:t xml:space="preserve"> </w:t>
      </w:r>
    </w:p>
    <w:p w:rsidR="002E0AAE" w:rsidRPr="002720B0" w:rsidRDefault="002E0AAE" w:rsidP="002E0AAE">
      <w:pPr>
        <w:pStyle w:val="Textoindependiente2"/>
        <w:spacing w:line="360" w:lineRule="auto"/>
        <w:rPr>
          <w:b/>
          <w:bCs/>
          <w:i w:val="0"/>
          <w:sz w:val="24"/>
          <w:szCs w:val="24"/>
        </w:rPr>
      </w:pPr>
    </w:p>
    <w:p w:rsidR="002E0AAE" w:rsidRDefault="002E0AAE" w:rsidP="002E0AAE">
      <w:pPr>
        <w:spacing w:line="360" w:lineRule="auto"/>
        <w:ind w:firstLine="2124"/>
        <w:jc w:val="both"/>
        <w:rPr>
          <w:rFonts w:ascii="Bookman Old Style" w:hAnsi="Bookman Old Style" w:cs="Tahoma"/>
          <w:iCs/>
        </w:rPr>
      </w:pPr>
      <w:r w:rsidRPr="002720B0">
        <w:rPr>
          <w:rFonts w:ascii="Bookman Old Style" w:hAnsi="Bookman Old Style" w:cs="Tahoma"/>
          <w:iCs/>
        </w:rPr>
        <w:t>Es materia de Consulta, el dictamen de</w:t>
      </w:r>
      <w:r>
        <w:rPr>
          <w:rFonts w:ascii="Bookman Old Style" w:hAnsi="Bookman Old Style" w:cs="Tahoma"/>
          <w:iCs/>
        </w:rPr>
        <w:t xml:space="preserve"> </w:t>
      </w:r>
      <w:r w:rsidRPr="002720B0">
        <w:rPr>
          <w:rFonts w:ascii="Bookman Old Style" w:hAnsi="Bookman Old Style" w:cs="Tahoma"/>
          <w:iCs/>
        </w:rPr>
        <w:t>l</w:t>
      </w:r>
      <w:r>
        <w:rPr>
          <w:rFonts w:ascii="Bookman Old Style" w:hAnsi="Bookman Old Style" w:cs="Tahoma"/>
          <w:iCs/>
        </w:rPr>
        <w:t>a</w:t>
      </w:r>
      <w:r w:rsidRPr="002720B0">
        <w:rPr>
          <w:rFonts w:ascii="Bookman Old Style" w:hAnsi="Bookman Old Style" w:cs="Tahoma"/>
          <w:iCs/>
        </w:rPr>
        <w:t xml:space="preserve"> Fiscal Superior</w:t>
      </w:r>
      <w:r>
        <w:rPr>
          <w:rFonts w:ascii="Bookman Old Style" w:hAnsi="Bookman Old Style" w:cs="Tahoma"/>
          <w:iCs/>
        </w:rPr>
        <w:t>,</w:t>
      </w:r>
      <w:r w:rsidRPr="002720B0">
        <w:rPr>
          <w:rFonts w:ascii="Bookman Old Style" w:hAnsi="Bookman Old Style" w:cs="Tahoma"/>
          <w:iCs/>
        </w:rPr>
        <w:t xml:space="preserve"> de l</w:t>
      </w:r>
      <w:r>
        <w:rPr>
          <w:rFonts w:ascii="Bookman Old Style" w:hAnsi="Bookman Old Style" w:cs="Tahoma"/>
          <w:iCs/>
        </w:rPr>
        <w:t>a Séptima</w:t>
      </w:r>
      <w:r w:rsidRPr="002720B0">
        <w:rPr>
          <w:rFonts w:ascii="Bookman Old Style" w:hAnsi="Bookman Old Style" w:cs="Tahoma"/>
          <w:iCs/>
        </w:rPr>
        <w:t xml:space="preserve"> Fiscalía Superior</w:t>
      </w:r>
      <w:r>
        <w:rPr>
          <w:rFonts w:ascii="Bookman Old Style" w:hAnsi="Bookman Old Style" w:cs="Tahoma"/>
          <w:iCs/>
        </w:rPr>
        <w:t xml:space="preserve"> en lo Penal</w:t>
      </w:r>
      <w:r w:rsidRPr="002720B0">
        <w:rPr>
          <w:rFonts w:ascii="Bookman Old Style" w:hAnsi="Bookman Old Style" w:cs="Tahoma"/>
          <w:iCs/>
        </w:rPr>
        <w:t xml:space="preserve"> de Lima</w:t>
      </w:r>
      <w:r>
        <w:rPr>
          <w:rFonts w:ascii="Bookman Old Style" w:hAnsi="Bookman Old Style" w:cs="Tahoma"/>
          <w:iCs/>
        </w:rPr>
        <w:t>, de</w:t>
      </w:r>
      <w:r w:rsidRPr="002720B0">
        <w:rPr>
          <w:rFonts w:ascii="Bookman Old Style" w:hAnsi="Bookman Old Style" w:cs="Tahoma"/>
          <w:iCs/>
        </w:rPr>
        <w:t xml:space="preserve"> folios </w:t>
      </w:r>
      <w:r>
        <w:rPr>
          <w:rFonts w:ascii="Bookman Old Style" w:hAnsi="Bookman Old Style" w:cs="Tahoma"/>
          <w:iCs/>
        </w:rPr>
        <w:t>548</w:t>
      </w:r>
      <w:r w:rsidRPr="002720B0">
        <w:rPr>
          <w:rFonts w:ascii="Bookman Old Style" w:hAnsi="Bookman Old Style" w:cs="Tahoma"/>
          <w:iCs/>
        </w:rPr>
        <w:t>/</w:t>
      </w:r>
      <w:r>
        <w:rPr>
          <w:rFonts w:ascii="Bookman Old Style" w:hAnsi="Bookman Old Style" w:cs="Tahoma"/>
          <w:iCs/>
        </w:rPr>
        <w:t>557</w:t>
      </w:r>
      <w:r w:rsidRPr="002720B0">
        <w:rPr>
          <w:rFonts w:ascii="Bookman Old Style" w:hAnsi="Bookman Old Style" w:cs="Tahoma"/>
          <w:iCs/>
        </w:rPr>
        <w:t xml:space="preserve">, en aplicación de lo dispuesto en el inc. c)  del artículo 220º del Código de Procedimientos Penales y en mérito al auto de folios </w:t>
      </w:r>
      <w:r>
        <w:rPr>
          <w:rFonts w:ascii="Bookman Old Style" w:hAnsi="Bookman Old Style" w:cs="Tahoma"/>
          <w:iCs/>
        </w:rPr>
        <w:t>591/592</w:t>
      </w:r>
      <w:r w:rsidRPr="002720B0">
        <w:rPr>
          <w:rFonts w:ascii="Bookman Old Style" w:hAnsi="Bookman Old Style" w:cs="Tahoma"/>
          <w:iCs/>
        </w:rPr>
        <w:t xml:space="preserve">, de fecha </w:t>
      </w:r>
      <w:r>
        <w:rPr>
          <w:rFonts w:ascii="Bookman Old Style" w:hAnsi="Bookman Old Style" w:cs="Tahoma"/>
          <w:iCs/>
        </w:rPr>
        <w:t>26 de juni</w:t>
      </w:r>
      <w:r w:rsidRPr="002720B0">
        <w:rPr>
          <w:rFonts w:ascii="Bookman Old Style" w:hAnsi="Bookman Old Style" w:cs="Tahoma"/>
          <w:iCs/>
        </w:rPr>
        <w:t>o de 2014, que dispone elevar en Consulta los actuados, al discrepar el Superior Colegiado</w:t>
      </w:r>
      <w:r>
        <w:rPr>
          <w:rFonts w:ascii="Bookman Old Style" w:hAnsi="Bookman Old Style" w:cs="Tahoma"/>
          <w:iCs/>
        </w:rPr>
        <w:t>,</w:t>
      </w:r>
      <w:r w:rsidRPr="002720B0">
        <w:rPr>
          <w:rFonts w:ascii="Bookman Old Style" w:hAnsi="Bookman Old Style" w:cs="Tahoma"/>
          <w:iCs/>
        </w:rPr>
        <w:t xml:space="preserve"> con el contenido del  citado dictamen Fiscal, que concluye </w:t>
      </w:r>
      <w:r w:rsidR="008C0DBC">
        <w:rPr>
          <w:rFonts w:ascii="Bookman Old Style" w:hAnsi="Bookman Old Style" w:cs="Tahoma"/>
          <w:b/>
          <w:iCs/>
        </w:rPr>
        <w:t>NO HAY MÉRITO PARA PASAR A JUICIO ORAL</w:t>
      </w:r>
      <w:r w:rsidRPr="002720B0">
        <w:rPr>
          <w:rFonts w:ascii="Bookman Old Style" w:hAnsi="Bookman Old Style" w:cs="Tahoma"/>
          <w:b/>
          <w:iCs/>
        </w:rPr>
        <w:t xml:space="preserve"> </w:t>
      </w:r>
      <w:r w:rsidRPr="002720B0">
        <w:rPr>
          <w:rFonts w:ascii="Bookman Old Style" w:hAnsi="Bookman Old Style" w:cs="Tahoma"/>
          <w:iCs/>
        </w:rPr>
        <w:t xml:space="preserve">contra </w:t>
      </w:r>
      <w:r>
        <w:rPr>
          <w:rFonts w:ascii="Bookman Old Style" w:hAnsi="Bookman Old Style" w:cs="Tahoma"/>
          <w:b/>
          <w:iCs/>
        </w:rPr>
        <w:t>GUSTAVO PIER CRISOSTOMO GUZMÁN</w:t>
      </w:r>
      <w:r w:rsidRPr="002720B0">
        <w:rPr>
          <w:rFonts w:ascii="Bookman Old Style" w:hAnsi="Bookman Old Style" w:cs="Tahoma"/>
          <w:iCs/>
        </w:rPr>
        <w:t>, como</w:t>
      </w:r>
      <w:r>
        <w:rPr>
          <w:rFonts w:ascii="Bookman Old Style" w:hAnsi="Bookman Old Style" w:cs="Tahoma"/>
          <w:iCs/>
        </w:rPr>
        <w:t xml:space="preserve"> presunto</w:t>
      </w:r>
      <w:r w:rsidRPr="002720B0">
        <w:rPr>
          <w:rFonts w:ascii="Bookman Old Style" w:hAnsi="Bookman Old Style" w:cs="Tahoma"/>
          <w:iCs/>
        </w:rPr>
        <w:t xml:space="preserve"> autor de delito contra</w:t>
      </w:r>
      <w:r>
        <w:rPr>
          <w:rFonts w:ascii="Bookman Old Style" w:hAnsi="Bookman Old Style" w:cs="Tahoma"/>
          <w:iCs/>
        </w:rPr>
        <w:t xml:space="preserve"> la Seguridad Pública, en su modalidad típica de Tenencia ilegal de armas de fuego, en agravio del Estado, tipificado en el artículo 279° del Código Penal. </w:t>
      </w:r>
    </w:p>
    <w:p w:rsidR="002E0AAE" w:rsidRDefault="002E0AAE" w:rsidP="002E0AAE">
      <w:pPr>
        <w:spacing w:line="360" w:lineRule="auto"/>
        <w:ind w:firstLine="2124"/>
        <w:jc w:val="both"/>
        <w:rPr>
          <w:rFonts w:ascii="Bookman Old Style" w:hAnsi="Bookman Old Style"/>
          <w:i/>
        </w:rPr>
      </w:pPr>
    </w:p>
    <w:p w:rsidR="002E0AAE" w:rsidRPr="002720B0" w:rsidRDefault="002E0AAE" w:rsidP="002E0AAE">
      <w:pPr>
        <w:spacing w:line="360" w:lineRule="auto"/>
        <w:ind w:firstLine="2124"/>
        <w:jc w:val="both"/>
        <w:rPr>
          <w:rFonts w:ascii="Bookman Old Style" w:hAnsi="Bookman Old Style"/>
          <w:i/>
        </w:rPr>
      </w:pPr>
    </w:p>
    <w:p w:rsidR="002E0AAE" w:rsidRPr="002720B0" w:rsidRDefault="002E0AAE" w:rsidP="002E0AAE">
      <w:pPr>
        <w:spacing w:line="360" w:lineRule="auto"/>
        <w:jc w:val="both"/>
        <w:rPr>
          <w:rFonts w:ascii="Bookman Old Style" w:hAnsi="Bookman Old Style" w:cs="Tahoma"/>
          <w:b/>
          <w:iCs/>
        </w:rPr>
      </w:pPr>
      <w:r w:rsidRPr="002720B0">
        <w:rPr>
          <w:rFonts w:ascii="Bookman Old Style" w:hAnsi="Bookman Old Style" w:cs="Tahoma"/>
          <w:b/>
          <w:iCs/>
        </w:rPr>
        <w:t>I.- HECHOS INCRIMINADOS</w:t>
      </w:r>
    </w:p>
    <w:p w:rsidR="002E0AAE" w:rsidRPr="002720B0" w:rsidRDefault="002E0AAE" w:rsidP="002E0AAE">
      <w:pPr>
        <w:spacing w:line="360" w:lineRule="auto"/>
        <w:ind w:firstLine="2124"/>
        <w:jc w:val="both"/>
        <w:rPr>
          <w:rFonts w:ascii="Bookman Old Style" w:hAnsi="Bookman Old Style" w:cs="Tahoma"/>
          <w:iCs/>
        </w:rPr>
      </w:pPr>
    </w:p>
    <w:p w:rsidR="001B07C8" w:rsidRDefault="00114AF4" w:rsidP="001B07C8">
      <w:pPr>
        <w:spacing w:line="360" w:lineRule="auto"/>
        <w:ind w:firstLine="708"/>
        <w:jc w:val="both"/>
        <w:rPr>
          <w:rFonts w:ascii="Bookman Old Style" w:hAnsi="Bookman Old Style" w:cs="Arial"/>
          <w:color w:val="000000"/>
        </w:rPr>
      </w:pPr>
      <w:r>
        <w:rPr>
          <w:rFonts w:ascii="Bookman Old Style" w:hAnsi="Bookman Old Style" w:cs="Arial"/>
          <w:color w:val="000000"/>
        </w:rPr>
        <w:t xml:space="preserve">Se imputa al procesado </w:t>
      </w:r>
      <w:r w:rsidRPr="00114AF4">
        <w:rPr>
          <w:rFonts w:ascii="Bookman Old Style" w:hAnsi="Bookman Old Style" w:cs="Tahoma"/>
          <w:iCs/>
        </w:rPr>
        <w:t>GUSTAVO PIER CRISOSTOMO GUZMÁN</w:t>
      </w:r>
      <w:r>
        <w:rPr>
          <w:rFonts w:ascii="Bookman Old Style" w:hAnsi="Bookman Old Style" w:cs="Tahoma"/>
          <w:iCs/>
        </w:rPr>
        <w:t xml:space="preserve">, juntamente con otros sujetos, haber realizado actos de vigilancia o seguimiento de personas, en proceso de identificación, a la intervención del vehículo - CHEVROLET blanco, en las intersecciones de la avenida Mariátegui y el Ferrocarril del distrito de El Agustino, encontrándose </w:t>
      </w:r>
      <w:proofErr w:type="spellStart"/>
      <w:r>
        <w:rPr>
          <w:rFonts w:ascii="Bookman Old Style" w:hAnsi="Bookman Old Style" w:cs="Tahoma"/>
          <w:iCs/>
        </w:rPr>
        <w:t>abordo</w:t>
      </w:r>
      <w:proofErr w:type="spellEnd"/>
      <w:r>
        <w:rPr>
          <w:rFonts w:ascii="Bookman Old Style" w:hAnsi="Bookman Old Style" w:cs="Tahoma"/>
          <w:iCs/>
        </w:rPr>
        <w:t xml:space="preserve"> a los inculpados; siendo que al efectuarse el registro personal correspondiente al imputado, -él mismo que iba como copiloto-, a quien se le encontró en su tobillo del pie izquierdo, una pistola - marca BERSA, </w:t>
      </w:r>
      <w:r>
        <w:rPr>
          <w:rFonts w:ascii="Bookman Old Style" w:hAnsi="Bookman Old Style" w:cs="Tahoma"/>
          <w:iCs/>
        </w:rPr>
        <w:lastRenderedPageBreak/>
        <w:t xml:space="preserve">CAL 380, limado, con una cacerina con cinco cartuchos CAL - 380 FAME, conforme se registra en el Acta de registro personal e incautación (fs. 27), entre otros. </w:t>
      </w:r>
    </w:p>
    <w:p w:rsidR="00815CEF" w:rsidRDefault="00815CEF" w:rsidP="009316A8">
      <w:pPr>
        <w:spacing w:line="360" w:lineRule="auto"/>
        <w:jc w:val="both"/>
        <w:rPr>
          <w:rFonts w:ascii="Bookman Old Style" w:hAnsi="Bookman Old Style" w:cs="Arial"/>
          <w:b/>
          <w:color w:val="000000"/>
        </w:rPr>
      </w:pPr>
    </w:p>
    <w:p w:rsidR="00114AF4" w:rsidRDefault="00114AF4" w:rsidP="009316A8">
      <w:pPr>
        <w:spacing w:line="360" w:lineRule="auto"/>
        <w:jc w:val="both"/>
        <w:rPr>
          <w:rFonts w:ascii="Bookman Old Style" w:hAnsi="Bookman Old Style" w:cs="Arial"/>
          <w:b/>
          <w:color w:val="000000"/>
        </w:rPr>
      </w:pPr>
    </w:p>
    <w:p w:rsidR="00114AF4" w:rsidRPr="002720B0" w:rsidRDefault="00114AF4" w:rsidP="00114AF4">
      <w:pPr>
        <w:pStyle w:val="Textoindependiente2"/>
        <w:spacing w:line="360" w:lineRule="auto"/>
        <w:rPr>
          <w:i w:val="0"/>
          <w:sz w:val="24"/>
          <w:szCs w:val="24"/>
        </w:rPr>
      </w:pPr>
      <w:r w:rsidRPr="002720B0">
        <w:rPr>
          <w:rFonts w:cs="Bookman Old Style"/>
          <w:b/>
          <w:bCs/>
          <w:i w:val="0"/>
          <w:iCs/>
          <w:color w:val="000000"/>
          <w:sz w:val="24"/>
          <w:szCs w:val="24"/>
        </w:rPr>
        <w:t xml:space="preserve">II.- SOBRE EL DICTAMEN MOTIVO DE DISCREPANCIA </w:t>
      </w:r>
    </w:p>
    <w:p w:rsidR="000B65BC" w:rsidRPr="00114AF4" w:rsidRDefault="00114AF4" w:rsidP="00114AF4">
      <w:pPr>
        <w:spacing w:line="360" w:lineRule="auto"/>
        <w:ind w:firstLine="2124"/>
        <w:jc w:val="both"/>
        <w:rPr>
          <w:rFonts w:ascii="Bookman Old Style" w:hAnsi="Bookman Old Style" w:cs="Tahoma"/>
          <w:iCs/>
        </w:rPr>
      </w:pPr>
      <w:r w:rsidRPr="002720B0">
        <w:rPr>
          <w:rFonts w:ascii="Bookman Old Style" w:hAnsi="Bookman Old Style" w:cs="Tahoma"/>
          <w:iCs/>
        </w:rPr>
        <w:tab/>
      </w:r>
      <w:r w:rsidRPr="002720B0">
        <w:rPr>
          <w:rFonts w:ascii="Bookman Old Style" w:hAnsi="Bookman Old Style" w:cs="Tahoma"/>
          <w:iCs/>
        </w:rPr>
        <w:tab/>
      </w:r>
    </w:p>
    <w:p w:rsidR="00AF59CE" w:rsidRDefault="000B65BC" w:rsidP="009316A8">
      <w:pPr>
        <w:spacing w:line="360" w:lineRule="auto"/>
        <w:jc w:val="both"/>
        <w:rPr>
          <w:rFonts w:ascii="Bookman Old Style" w:hAnsi="Bookman Old Style" w:cs="Arial"/>
          <w:color w:val="000000"/>
        </w:rPr>
      </w:pPr>
      <w:r>
        <w:rPr>
          <w:rFonts w:ascii="Bookman Old Style" w:hAnsi="Bookman Old Style" w:cs="Arial"/>
          <w:b/>
          <w:color w:val="000000"/>
        </w:rPr>
        <w:tab/>
      </w:r>
      <w:r w:rsidR="00114AF4">
        <w:rPr>
          <w:rFonts w:ascii="Bookman Old Style" w:hAnsi="Bookman Old Style" w:cs="Arial"/>
          <w:color w:val="000000"/>
        </w:rPr>
        <w:t>La</w:t>
      </w:r>
      <w:r w:rsidR="00AF59CE">
        <w:rPr>
          <w:rFonts w:ascii="Bookman Old Style" w:hAnsi="Bookman Old Style" w:cs="Arial"/>
          <w:color w:val="000000"/>
        </w:rPr>
        <w:t xml:space="preserve"> representante del Ministerio Público</w:t>
      </w:r>
      <w:r w:rsidR="00114AF4">
        <w:rPr>
          <w:rFonts w:ascii="Bookman Old Style" w:hAnsi="Bookman Old Style" w:cs="Arial"/>
          <w:color w:val="000000"/>
        </w:rPr>
        <w:t>, en su dictamen de fs. 548/557</w:t>
      </w:r>
      <w:r w:rsidR="00AF59CE">
        <w:rPr>
          <w:rFonts w:ascii="Bookman Old Style" w:hAnsi="Bookman Old Style" w:cs="Arial"/>
          <w:color w:val="000000"/>
        </w:rPr>
        <w:t>,</w:t>
      </w:r>
      <w:r w:rsidR="00114AF4">
        <w:rPr>
          <w:rFonts w:ascii="Bookman Old Style" w:hAnsi="Bookman Old Style" w:cs="Arial"/>
          <w:color w:val="000000"/>
        </w:rPr>
        <w:t xml:space="preserve"> asevera,</w:t>
      </w:r>
      <w:r w:rsidR="00AF59CE">
        <w:rPr>
          <w:rFonts w:ascii="Bookman Old Style" w:hAnsi="Bookman Old Style" w:cs="Arial"/>
          <w:color w:val="000000"/>
        </w:rPr>
        <w:t xml:space="preserve"> </w:t>
      </w:r>
      <w:r w:rsidR="00114AF4">
        <w:rPr>
          <w:rFonts w:ascii="Bookman Old Style" w:hAnsi="Bookman Old Style" w:cs="Arial"/>
          <w:color w:val="000000"/>
        </w:rPr>
        <w:t>-</w:t>
      </w:r>
      <w:r w:rsidR="00AF59CE">
        <w:rPr>
          <w:rFonts w:ascii="Bookman Old Style" w:hAnsi="Bookman Old Style" w:cs="Arial"/>
          <w:color w:val="000000"/>
        </w:rPr>
        <w:t>que debe tenerse en cuenta</w:t>
      </w:r>
      <w:r w:rsidR="00114AF4">
        <w:rPr>
          <w:rFonts w:ascii="Bookman Old Style" w:hAnsi="Bookman Old Style" w:cs="Arial"/>
          <w:color w:val="000000"/>
        </w:rPr>
        <w:t>-</w:t>
      </w:r>
      <w:r w:rsidR="00AF59CE">
        <w:rPr>
          <w:rFonts w:ascii="Bookman Old Style" w:hAnsi="Bookman Old Style" w:cs="Arial"/>
          <w:color w:val="000000"/>
        </w:rPr>
        <w:t xml:space="preserve">, que para realizar el evento criminal -materia de instrucción-, es necesario que el agente activo de la comisión del delito, tenga en su poder un arma o varias armas y municiones, la misma que es empleada con el fin de realizar el acto ilícito (marca o reglaje), siendo irrelevante que la posesión del arma sea legítima o ilegítima; por lo que la utilización del arma de fuego, en el presente caso, es un instrumento para ejecutar el delito señalado en el primer párrafo del artículo 317°-A del Código Penal, y por ende, no debe ser tratado como un delito independiente, estando a ello -señala-, el delito de tenencia ilegal de armas debe ser subsumido dentro del tipo penal de Marcaje. </w:t>
      </w:r>
    </w:p>
    <w:p w:rsidR="009316A8" w:rsidRPr="00114AF4" w:rsidRDefault="009316A8" w:rsidP="00114AF4">
      <w:pPr>
        <w:spacing w:line="360" w:lineRule="auto"/>
        <w:jc w:val="both"/>
        <w:rPr>
          <w:rFonts w:ascii="Bookman Old Style" w:hAnsi="Bookman Old Style" w:cs="Arial"/>
          <w:b/>
          <w:color w:val="000000"/>
        </w:rPr>
      </w:pPr>
    </w:p>
    <w:p w:rsidR="009316A8" w:rsidRDefault="00114AF4" w:rsidP="009316A8">
      <w:pPr>
        <w:spacing w:line="360" w:lineRule="auto"/>
        <w:ind w:firstLine="709"/>
        <w:jc w:val="both"/>
        <w:rPr>
          <w:rFonts w:ascii="Bookman Old Style" w:hAnsi="Bookman Old Style" w:cs="Arial"/>
          <w:color w:val="000000"/>
        </w:rPr>
      </w:pPr>
      <w:r>
        <w:rPr>
          <w:rFonts w:ascii="Bookman Old Style" w:hAnsi="Bookman Old Style" w:cs="Arial"/>
          <w:color w:val="000000"/>
        </w:rPr>
        <w:t>Por su parte, la</w:t>
      </w:r>
      <w:r w:rsidR="009316A8">
        <w:rPr>
          <w:rFonts w:ascii="Bookman Old Style" w:hAnsi="Bookman Old Style" w:cs="Arial"/>
          <w:color w:val="000000"/>
        </w:rPr>
        <w:t xml:space="preserve"> Sala en su resolución</w:t>
      </w:r>
      <w:r>
        <w:rPr>
          <w:rFonts w:ascii="Bookman Old Style" w:hAnsi="Bookman Old Style" w:cs="Arial"/>
          <w:color w:val="000000"/>
        </w:rPr>
        <w:t xml:space="preserve"> (fs. 591/592)</w:t>
      </w:r>
      <w:r w:rsidR="009316A8">
        <w:rPr>
          <w:rFonts w:ascii="Bookman Old Style" w:hAnsi="Bookman Old Style" w:cs="Arial"/>
          <w:color w:val="000000"/>
        </w:rPr>
        <w:t>, señala que el delito de Marcaje o Reglaje, considera marca a la persona, que para cometer o facilitar la comisión de los delitos citados en el artículo 317-A del Código Sustantivo, realiza actos de seguimiento de personas, o tiene en su poder armas, vehículos, teléfonos u otros instrumentos para facilitar la comisión del delito, es decir, tipifica actos preparatorios, los cuales son desplegados antes de la comisión del delito fin; indica a su vez, que en los delitos contra la seguridad pública, la legislación -en general-, protegen la seguridad común, ante la amenaza de quien cuenta y tiene a su alcance y dominio del medio idóneo para hacer efectivo, un evento lesivo a sea seguridad</w:t>
      </w:r>
      <w:r w:rsidR="000D00A0">
        <w:rPr>
          <w:rFonts w:ascii="Bookman Old Style" w:hAnsi="Bookman Old Style" w:cs="Arial"/>
          <w:color w:val="000000"/>
        </w:rPr>
        <w:t>, siendo que el artículo 279° del Código Penal, describe el tipo penal de Tenencia ilegal de armas de fuego</w:t>
      </w:r>
      <w:r w:rsidR="00815CEF">
        <w:rPr>
          <w:rFonts w:ascii="Bookman Old Style" w:hAnsi="Bookman Old Style" w:cs="Arial"/>
          <w:color w:val="000000"/>
        </w:rPr>
        <w:t xml:space="preserve">, aludiendo a una posesión sin </w:t>
      </w:r>
      <w:r w:rsidR="00815CEF">
        <w:rPr>
          <w:rFonts w:ascii="Bookman Old Style" w:hAnsi="Bookman Old Style" w:cs="Arial"/>
          <w:color w:val="000000"/>
        </w:rPr>
        <w:lastRenderedPageBreak/>
        <w:t xml:space="preserve">la licencia o autorización correspondiente, comportamiento, que si bien no devela en puridad un peligro concreto, sino más bien de verificación en un contexto de </w:t>
      </w:r>
      <w:proofErr w:type="spellStart"/>
      <w:r w:rsidR="00815CEF">
        <w:rPr>
          <w:rFonts w:ascii="Bookman Old Style" w:hAnsi="Bookman Old Style" w:cs="Arial"/>
          <w:color w:val="000000"/>
        </w:rPr>
        <w:t>lesividad</w:t>
      </w:r>
      <w:proofErr w:type="spellEnd"/>
      <w:r w:rsidR="00815CEF">
        <w:rPr>
          <w:rFonts w:ascii="Bookman Old Style" w:hAnsi="Bookman Old Style" w:cs="Arial"/>
          <w:color w:val="000000"/>
        </w:rPr>
        <w:t xml:space="preserve"> potencial, que en mérito a un juicio de valoración general se concluye como conductas </w:t>
      </w:r>
      <w:proofErr w:type="spellStart"/>
      <w:r w:rsidR="00815CEF">
        <w:rPr>
          <w:rFonts w:ascii="Bookman Old Style" w:hAnsi="Bookman Old Style" w:cs="Arial"/>
          <w:color w:val="000000"/>
        </w:rPr>
        <w:t>disvaliosas</w:t>
      </w:r>
      <w:proofErr w:type="spellEnd"/>
      <w:r w:rsidR="00815CEF">
        <w:rPr>
          <w:rFonts w:ascii="Bookman Old Style" w:hAnsi="Bookman Old Style" w:cs="Arial"/>
          <w:color w:val="000000"/>
        </w:rPr>
        <w:t xml:space="preserve">, de riesgo para la seguridad de las personas, por lo que no puede ser subsumido dentro de la figura penal materia de acusación. </w:t>
      </w:r>
    </w:p>
    <w:p w:rsidR="009316A8" w:rsidRDefault="009316A8" w:rsidP="009316A8">
      <w:pPr>
        <w:spacing w:line="360" w:lineRule="auto"/>
        <w:ind w:firstLine="709"/>
        <w:jc w:val="both"/>
        <w:rPr>
          <w:rFonts w:ascii="Bookman Old Style" w:hAnsi="Bookman Old Style" w:cs="Arial"/>
          <w:color w:val="000000"/>
        </w:rPr>
      </w:pPr>
    </w:p>
    <w:p w:rsidR="009316A8" w:rsidRDefault="009316A8" w:rsidP="009316A8">
      <w:pPr>
        <w:spacing w:line="360" w:lineRule="auto"/>
        <w:ind w:firstLine="709"/>
        <w:jc w:val="both"/>
        <w:rPr>
          <w:rFonts w:ascii="Bookman Old Style" w:hAnsi="Bookman Old Style" w:cs="Arial"/>
          <w:color w:val="000000"/>
        </w:rPr>
      </w:pPr>
    </w:p>
    <w:p w:rsidR="00114AF4" w:rsidRDefault="00114AF4" w:rsidP="00114AF4">
      <w:pPr>
        <w:pStyle w:val="Textoindependiente2"/>
        <w:spacing w:line="360" w:lineRule="auto"/>
        <w:rPr>
          <w:rFonts w:cs="Bookman Old Style"/>
          <w:b/>
          <w:bCs/>
          <w:i w:val="0"/>
          <w:iCs/>
          <w:color w:val="000000"/>
          <w:sz w:val="24"/>
          <w:szCs w:val="24"/>
        </w:rPr>
      </w:pPr>
      <w:r w:rsidRPr="00B0024C">
        <w:rPr>
          <w:rFonts w:cs="Bookman Old Style"/>
          <w:b/>
          <w:bCs/>
          <w:i w:val="0"/>
          <w:iCs/>
          <w:color w:val="000000"/>
          <w:sz w:val="24"/>
          <w:szCs w:val="24"/>
        </w:rPr>
        <w:t>III.-  ANÁLISIS DE LOS ACTUADOS:</w:t>
      </w:r>
    </w:p>
    <w:p w:rsidR="00114AF4" w:rsidRDefault="00114AF4" w:rsidP="00114AF4">
      <w:pPr>
        <w:pStyle w:val="Textoindependiente2"/>
        <w:spacing w:line="360" w:lineRule="auto"/>
        <w:rPr>
          <w:rFonts w:cs="Bookman Old Style"/>
          <w:b/>
          <w:bCs/>
          <w:i w:val="0"/>
          <w:iCs/>
          <w:color w:val="000000"/>
          <w:sz w:val="24"/>
          <w:szCs w:val="24"/>
        </w:rPr>
      </w:pPr>
    </w:p>
    <w:p w:rsidR="009316A8" w:rsidRPr="00114AF4" w:rsidRDefault="00114AF4" w:rsidP="00114AF4">
      <w:pPr>
        <w:pStyle w:val="Textoindependiente2"/>
        <w:spacing w:line="360" w:lineRule="auto"/>
        <w:rPr>
          <w:rFonts w:cs="Bookman Old Style"/>
          <w:b/>
          <w:bCs/>
          <w:i w:val="0"/>
          <w:iCs/>
          <w:color w:val="000000"/>
          <w:sz w:val="24"/>
          <w:szCs w:val="24"/>
        </w:rPr>
      </w:pPr>
      <w:r>
        <w:rPr>
          <w:rFonts w:cs="Bookman Old Style"/>
          <w:b/>
          <w:bCs/>
          <w:i w:val="0"/>
          <w:iCs/>
          <w:color w:val="000000"/>
          <w:sz w:val="24"/>
          <w:szCs w:val="24"/>
        </w:rPr>
        <w:tab/>
      </w:r>
      <w:r w:rsidRPr="00114AF4">
        <w:rPr>
          <w:rFonts w:cs="Courier New"/>
          <w:i w:val="0"/>
          <w:sz w:val="24"/>
          <w:szCs w:val="24"/>
        </w:rPr>
        <w:t>En principio, cabe recordar, que el representante del Ministerio Público –como titular del ejercicio de la acción penal pública-, es quien asume la potestad persecutoria y acusatoria, incidiendo en un juicio de atribución delictiva, a quienes las evidencias e indicios, muestran como presunto autor y/o partícipe de un hecho punible</w:t>
      </w:r>
      <w:r w:rsidRPr="00114AF4">
        <w:rPr>
          <w:rFonts w:cs="Tahoma"/>
          <w:i w:val="0"/>
          <w:iCs/>
          <w:sz w:val="24"/>
          <w:szCs w:val="24"/>
        </w:rPr>
        <w:t>, lo que en puridad implica hacer un juicio de probabilidad sobre la comisión de un ilícito y la posible relación causal con aquella persona a quien se le imputa su autoría</w:t>
      </w:r>
      <w:r w:rsidRPr="00114AF4">
        <w:rPr>
          <w:rFonts w:cs="Courier New"/>
          <w:i w:val="0"/>
          <w:sz w:val="24"/>
          <w:szCs w:val="24"/>
        </w:rPr>
        <w:t xml:space="preserve">; esto a su vez, implica que ha de renunciar al ejercicio de la acción penal o a formular su acusación (hipótesis de incriminación), sólo si del recaudo probatorio que consta en autos, no se revelan indicios de criminalidad, quiere decir esto, que en sujeción estricta al principio de legalidad, ha de solicitar el sobreseimiento o no haber mérito a pasar a Juicio Oral, cuando así lo advierta de las investigaciones efectuadas en el procedimiento penal. </w:t>
      </w:r>
    </w:p>
    <w:p w:rsidR="00F20250" w:rsidRDefault="001B07C8" w:rsidP="001B07C8">
      <w:pPr>
        <w:spacing w:line="360" w:lineRule="auto"/>
        <w:ind w:firstLine="708"/>
        <w:jc w:val="both"/>
        <w:rPr>
          <w:rFonts w:ascii="Bookman Old Style" w:hAnsi="Bookman Old Style" w:cs="Arial"/>
          <w:color w:val="000000"/>
        </w:rPr>
      </w:pPr>
      <w:r w:rsidRPr="001B07C8">
        <w:rPr>
          <w:rFonts w:ascii="Bookman Old Style" w:hAnsi="Bookman Old Style" w:cs="Arial"/>
          <w:color w:val="000000"/>
        </w:rPr>
        <w:t>A fin de dar respuesta, a la controversia puesta en debate</w:t>
      </w:r>
      <w:r w:rsidR="00114AF4">
        <w:rPr>
          <w:rFonts w:ascii="Bookman Old Style" w:hAnsi="Bookman Old Style" w:cs="Arial"/>
          <w:color w:val="000000"/>
        </w:rPr>
        <w:t>, por la</w:t>
      </w:r>
      <w:r w:rsidRPr="001B07C8">
        <w:rPr>
          <w:rFonts w:ascii="Bookman Old Style" w:hAnsi="Bookman Old Style" w:cs="Arial"/>
          <w:color w:val="000000"/>
        </w:rPr>
        <w:t xml:space="preserve"> representante del Ministerio</w:t>
      </w:r>
      <w:r w:rsidR="00114AF4">
        <w:rPr>
          <w:rFonts w:ascii="Bookman Old Style" w:hAnsi="Bookman Old Style" w:cs="Arial"/>
          <w:color w:val="000000"/>
        </w:rPr>
        <w:t xml:space="preserve"> Público y la Sala</w:t>
      </w:r>
      <w:r w:rsidRPr="001B07C8">
        <w:rPr>
          <w:rFonts w:ascii="Bookman Old Style" w:hAnsi="Bookman Old Style" w:cs="Arial"/>
          <w:color w:val="000000"/>
        </w:rPr>
        <w:t>, hemos de proceder a un</w:t>
      </w:r>
      <w:r w:rsidR="00114AF4">
        <w:rPr>
          <w:rFonts w:ascii="Bookman Old Style" w:hAnsi="Bookman Old Style" w:cs="Arial"/>
          <w:color w:val="000000"/>
        </w:rPr>
        <w:t xml:space="preserve"> riguroso</w:t>
      </w:r>
      <w:r w:rsidRPr="001B07C8">
        <w:rPr>
          <w:rFonts w:ascii="Bookman Old Style" w:hAnsi="Bookman Old Style" w:cs="Arial"/>
          <w:color w:val="000000"/>
        </w:rPr>
        <w:t xml:space="preserve"> examen jurídico-penal, conforme los planteamientos dogmáti</w:t>
      </w:r>
      <w:r w:rsidR="00F20250">
        <w:rPr>
          <w:rFonts w:ascii="Bookman Old Style" w:hAnsi="Bookman Old Style" w:cs="Arial"/>
          <w:color w:val="000000"/>
        </w:rPr>
        <w:t>cos, sobre la ma</w:t>
      </w:r>
      <w:r w:rsidR="00114AF4">
        <w:rPr>
          <w:rFonts w:ascii="Bookman Old Style" w:hAnsi="Bookman Old Style" w:cs="Arial"/>
          <w:color w:val="000000"/>
        </w:rPr>
        <w:t>teria</w:t>
      </w:r>
      <w:r w:rsidRPr="001B07C8">
        <w:rPr>
          <w:rFonts w:ascii="Bookman Old Style" w:hAnsi="Bookman Old Style" w:cs="Arial"/>
          <w:color w:val="000000"/>
        </w:rPr>
        <w:t>.</w:t>
      </w:r>
    </w:p>
    <w:p w:rsidR="001B07C8" w:rsidRPr="009316A8" w:rsidRDefault="009316A8" w:rsidP="001B07C8">
      <w:pPr>
        <w:spacing w:line="360" w:lineRule="auto"/>
        <w:ind w:firstLine="708"/>
        <w:jc w:val="both"/>
        <w:rPr>
          <w:rFonts w:ascii="Bookman Old Style" w:hAnsi="Bookman Old Style"/>
        </w:rPr>
      </w:pPr>
      <w:r w:rsidRPr="009316A8">
        <w:rPr>
          <w:rFonts w:ascii="Bookman Old Style" w:hAnsi="Bookman Old Style"/>
        </w:rPr>
        <w:t xml:space="preserve">Primero, debe indicarse que el delito de Reglaje, importa el seguimiento continuo y permanente que efectúan ciertos agentes delictuales, sobre personas y cosas, con la finalidad de acopiar </w:t>
      </w:r>
      <w:r w:rsidRPr="009316A8">
        <w:rPr>
          <w:rFonts w:ascii="Bookman Old Style" w:hAnsi="Bookman Old Style"/>
        </w:rPr>
        <w:lastRenderedPageBreak/>
        <w:t xml:space="preserve">información y/o datos relevantes, que les permita ejecutar su plan criminal con toda garantía en su ejecución; sea para identificar trayectos de desplazamiento de la víctima, con el objetivo de secuestrarla o de conocer de retiros dinerarios en bancos y otras instituciones financieros, con el afán de apoderarse del objeto material del delito. </w:t>
      </w:r>
    </w:p>
    <w:p w:rsidR="001B07C8" w:rsidRPr="001B07C8" w:rsidRDefault="009316A8" w:rsidP="001B07C8">
      <w:pPr>
        <w:spacing w:line="360" w:lineRule="auto"/>
        <w:ind w:firstLine="708"/>
        <w:jc w:val="both"/>
        <w:rPr>
          <w:rFonts w:ascii="Bookman Old Style" w:hAnsi="Bookman Old Style" w:cs="Arial"/>
          <w:color w:val="000000"/>
        </w:rPr>
      </w:pPr>
      <w:r>
        <w:rPr>
          <w:rFonts w:ascii="Bookman Old Style" w:hAnsi="Bookman Old Style" w:cs="Arial"/>
          <w:color w:val="000000"/>
        </w:rPr>
        <w:t>Ahora bien, -es</w:t>
      </w:r>
      <w:r w:rsidR="001B07C8" w:rsidRPr="001B07C8">
        <w:rPr>
          <w:rFonts w:ascii="Bookman Old Style" w:hAnsi="Bookman Old Style" w:cs="Arial"/>
          <w:color w:val="000000"/>
        </w:rPr>
        <w:t xml:space="preserve"> sabido</w:t>
      </w:r>
      <w:r>
        <w:rPr>
          <w:rFonts w:ascii="Bookman Old Style" w:hAnsi="Bookman Old Style" w:cs="Arial"/>
          <w:color w:val="000000"/>
        </w:rPr>
        <w:t>-</w:t>
      </w:r>
      <w:r w:rsidR="001B07C8" w:rsidRPr="001B07C8">
        <w:rPr>
          <w:rFonts w:ascii="Bookman Old Style" w:hAnsi="Bookman Old Style" w:cs="Arial"/>
          <w:color w:val="000000"/>
        </w:rPr>
        <w:t>, por los conocimientos extraíbles de la Parte General del Derecho penal, que para poder estimar la concurrencia de un Concurso delictivo, se debe identificar una sola acción y/o una pluralidad de acciones u omisiones, que a su vez, contravengan el mimo precepto jurídico-penal o varios tipos legales. En todas esas situaciones el autor ha realizado más de un tipo de delito, además ha vulnerado más de un bien jurídico, transgrediendo más de una norma penal, y por lo tanto en estos casos estamos ante un concurso real o efectivo de normas infringidas</w:t>
      </w:r>
      <w:r w:rsidR="001B07C8" w:rsidRPr="001B07C8">
        <w:rPr>
          <w:rStyle w:val="Refdenotaalpie"/>
          <w:rFonts w:ascii="Bookman Old Style" w:hAnsi="Bookman Old Style" w:cs="Arial"/>
          <w:color w:val="000000"/>
        </w:rPr>
        <w:footnoteReference w:id="2"/>
      </w:r>
      <w:r w:rsidR="001B07C8">
        <w:rPr>
          <w:rFonts w:ascii="Bookman Old Style" w:hAnsi="Bookman Old Style" w:cs="Arial"/>
          <w:color w:val="000000"/>
        </w:rPr>
        <w:t>; m</w:t>
      </w:r>
      <w:r w:rsidR="001B07C8" w:rsidRPr="001B07C8">
        <w:rPr>
          <w:rFonts w:ascii="Bookman Old Style" w:hAnsi="Bookman Old Style" w:cs="Arial"/>
          <w:color w:val="000000"/>
        </w:rPr>
        <w:t xml:space="preserve">ientras, que el Conflicto aparente de normas penales, </w:t>
      </w:r>
      <w:r w:rsidR="001B07C8">
        <w:rPr>
          <w:rFonts w:ascii="Bookman Old Style" w:hAnsi="Bookman Old Style" w:cs="Arial"/>
          <w:color w:val="000000"/>
        </w:rPr>
        <w:t>-</w:t>
      </w:r>
      <w:r w:rsidR="001B07C8" w:rsidRPr="001B07C8">
        <w:rPr>
          <w:rFonts w:ascii="Bookman Old Style" w:hAnsi="Bookman Old Style" w:cs="Arial"/>
          <w:color w:val="000000"/>
        </w:rPr>
        <w:t>toma lugar</w:t>
      </w:r>
      <w:r w:rsidR="001B07C8">
        <w:rPr>
          <w:rFonts w:ascii="Bookman Old Style" w:hAnsi="Bookman Old Style" w:cs="Arial"/>
          <w:color w:val="000000"/>
        </w:rPr>
        <w:t>-</w:t>
      </w:r>
      <w:r w:rsidR="001B07C8" w:rsidRPr="001B07C8">
        <w:rPr>
          <w:rFonts w:ascii="Bookman Old Style" w:hAnsi="Bookman Old Style" w:cs="Arial"/>
          <w:color w:val="000000"/>
        </w:rPr>
        <w:t>, cuando una sola conducta, puede ser encajada y/o cobijada por un solo comportamiento del injusto típico, siempre que se tutele el mism</w:t>
      </w:r>
      <w:r w:rsidR="001B07C8">
        <w:rPr>
          <w:rFonts w:ascii="Bookman Old Style" w:hAnsi="Bookman Old Style" w:cs="Arial"/>
          <w:color w:val="000000"/>
        </w:rPr>
        <w:t>o bien jurídico. Es en este tópico de la discusión</w:t>
      </w:r>
      <w:r w:rsidR="001B07C8" w:rsidRPr="001B07C8">
        <w:rPr>
          <w:rFonts w:ascii="Bookman Old Style" w:hAnsi="Bookman Old Style" w:cs="Arial"/>
          <w:color w:val="000000"/>
        </w:rPr>
        <w:t>, donde se debe hacer la distinción, al observarse que el listado de la codificación penal comprende figuras delictivas, caracterizadas con elementos (normativos y descriptivos) similares, a veces muy difícil de distinguir, por el empleo casi idéntico de sus elementos de composición típica; a tal efecto, debemos identificar el objeto de tutela jurídica</w:t>
      </w:r>
      <w:r w:rsidR="001B07C8">
        <w:rPr>
          <w:rFonts w:ascii="Bookman Old Style" w:hAnsi="Bookman Old Style" w:cs="Arial"/>
          <w:color w:val="000000"/>
        </w:rPr>
        <w:t xml:space="preserve"> (</w:t>
      </w:r>
      <w:r w:rsidR="001B07C8">
        <w:rPr>
          <w:rFonts w:ascii="Bookman Old Style" w:hAnsi="Bookman Old Style" w:cs="Arial"/>
          <w:i/>
          <w:color w:val="000000"/>
        </w:rPr>
        <w:t>bien jurídico</w:t>
      </w:r>
      <w:r w:rsidR="001B07C8">
        <w:rPr>
          <w:rFonts w:ascii="Bookman Old Style" w:hAnsi="Bookman Old Style" w:cs="Arial"/>
          <w:color w:val="000000"/>
        </w:rPr>
        <w:t>)</w:t>
      </w:r>
      <w:r w:rsidR="001B07C8" w:rsidRPr="001B07C8">
        <w:rPr>
          <w:rFonts w:ascii="Bookman Old Style" w:hAnsi="Bookman Old Style" w:cs="Arial"/>
          <w:color w:val="000000"/>
        </w:rPr>
        <w:t xml:space="preserve">. </w:t>
      </w:r>
    </w:p>
    <w:p w:rsidR="001B07C8" w:rsidRPr="001B07C8" w:rsidRDefault="001B07C8" w:rsidP="001B07C8">
      <w:pPr>
        <w:spacing w:line="360" w:lineRule="auto"/>
        <w:ind w:firstLine="708"/>
        <w:jc w:val="both"/>
        <w:rPr>
          <w:rFonts w:ascii="Bookman Old Style" w:hAnsi="Bookman Old Style" w:cs="Arial"/>
          <w:color w:val="000000"/>
        </w:rPr>
      </w:pPr>
      <w:r w:rsidRPr="001B07C8">
        <w:rPr>
          <w:rFonts w:ascii="Bookman Old Style" w:hAnsi="Bookman Old Style" w:cs="Arial"/>
          <w:color w:val="000000"/>
        </w:rPr>
        <w:t>Convenimos por tanto, que para poder dilucidar el entrecruzamiento normativo entre el delito de Tenencia Ilegal de armas, debemos remitirnos al principio de «subsidiariedad»; acerca de sus límites, Romero Soto, apunta</w:t>
      </w:r>
      <w:r>
        <w:rPr>
          <w:rFonts w:ascii="Bookman Old Style" w:hAnsi="Bookman Old Style" w:cs="Arial"/>
          <w:color w:val="000000"/>
        </w:rPr>
        <w:t>,</w:t>
      </w:r>
      <w:r w:rsidRPr="001B07C8">
        <w:rPr>
          <w:rFonts w:ascii="Bookman Old Style" w:hAnsi="Bookman Old Style" w:cs="Arial"/>
          <w:color w:val="000000"/>
        </w:rPr>
        <w:t xml:space="preserve"> que para que exista este tipo de relación entre dos disposiciones penales, se necesita que en ambos casos el sujeto activo sea el mismo, que sea también idéntico el objeto material, que se trate del mismo sujeto </w:t>
      </w:r>
      <w:r w:rsidRPr="001B07C8">
        <w:rPr>
          <w:rFonts w:ascii="Bookman Old Style" w:hAnsi="Bookman Old Style" w:cs="Arial"/>
          <w:color w:val="000000"/>
        </w:rPr>
        <w:lastRenderedPageBreak/>
        <w:t>pasivo y que haya unidad del episodio criminoso</w:t>
      </w:r>
      <w:r w:rsidRPr="001B07C8">
        <w:rPr>
          <w:rStyle w:val="Refdenotaalpie"/>
          <w:rFonts w:ascii="Bookman Old Style" w:hAnsi="Bookman Old Style" w:cs="Arial"/>
          <w:color w:val="000000"/>
        </w:rPr>
        <w:footnoteReference w:id="3"/>
      </w:r>
      <w:r w:rsidRPr="001B07C8">
        <w:rPr>
          <w:rFonts w:ascii="Bookman Old Style" w:hAnsi="Bookman Old Style" w:cs="Arial"/>
          <w:color w:val="000000"/>
        </w:rPr>
        <w:t xml:space="preserve">; </w:t>
      </w:r>
      <w:r>
        <w:rPr>
          <w:rFonts w:ascii="Bookman Old Style" w:hAnsi="Bookman Old Style" w:cs="Arial"/>
          <w:color w:val="000000"/>
        </w:rPr>
        <w:t>-</w:t>
      </w:r>
      <w:r w:rsidRPr="001B07C8">
        <w:rPr>
          <w:rFonts w:ascii="Bookman Old Style" w:hAnsi="Bookman Old Style" w:cs="Arial"/>
          <w:color w:val="000000"/>
        </w:rPr>
        <w:t>donde a nuestro entender</w:t>
      </w:r>
      <w:r>
        <w:rPr>
          <w:rFonts w:ascii="Bookman Old Style" w:hAnsi="Bookman Old Style" w:cs="Arial"/>
          <w:color w:val="000000"/>
        </w:rPr>
        <w:t>-</w:t>
      </w:r>
      <w:r w:rsidRPr="001B07C8">
        <w:rPr>
          <w:rFonts w:ascii="Bookman Old Style" w:hAnsi="Bookman Old Style" w:cs="Arial"/>
          <w:color w:val="000000"/>
        </w:rPr>
        <w:t>, la identidad del bien jurídico tutelado es un factor esencial para la configuración de dicho principio</w:t>
      </w:r>
      <w:r w:rsidRPr="001B07C8">
        <w:rPr>
          <w:rStyle w:val="Refdenotaalpie"/>
          <w:rFonts w:ascii="Bookman Old Style" w:hAnsi="Bookman Old Style" w:cs="Arial"/>
          <w:color w:val="000000"/>
        </w:rPr>
        <w:footnoteReference w:id="4"/>
      </w:r>
      <w:r w:rsidRPr="001B07C8">
        <w:rPr>
          <w:rFonts w:ascii="Bookman Old Style" w:hAnsi="Bookman Old Style" w:cs="Arial"/>
          <w:color w:val="000000"/>
        </w:rPr>
        <w:t>; lo cual inclusiv</w:t>
      </w:r>
      <w:r>
        <w:rPr>
          <w:rFonts w:ascii="Bookman Old Style" w:hAnsi="Bookman Old Style" w:cs="Arial"/>
          <w:color w:val="000000"/>
        </w:rPr>
        <w:t>e podría dejarse de lado, a fin</w:t>
      </w:r>
      <w:r w:rsidRPr="001B07C8">
        <w:rPr>
          <w:rFonts w:ascii="Bookman Old Style" w:hAnsi="Bookman Old Style" w:cs="Arial"/>
          <w:color w:val="000000"/>
        </w:rPr>
        <w:t xml:space="preserve"> de afirmar la presencia de un Concurso delicti</w:t>
      </w:r>
      <w:r>
        <w:rPr>
          <w:rFonts w:ascii="Bookman Old Style" w:hAnsi="Bookman Old Style" w:cs="Arial"/>
          <w:color w:val="000000"/>
        </w:rPr>
        <w:t>vo, conforme lo sostenido -líneas adelante-</w:t>
      </w:r>
      <w:r w:rsidRPr="001B07C8">
        <w:rPr>
          <w:rFonts w:ascii="Bookman Old Style" w:hAnsi="Bookman Old Style" w:cs="Arial"/>
          <w:color w:val="000000"/>
        </w:rPr>
        <w:t>. Conforme a él, indica Maquea Abreu, pudiera afirmarse que cuando una acción amenaza o lesiona más de un bien jurídico, el concurso aplicable será normalmente el de delitos pues con sus reglas –atentas a la valoración de las afecciones producidas sobre los objetos de protección concurrentes- se alcanza una valoración más completa de su contenido de injusto</w:t>
      </w:r>
      <w:r w:rsidRPr="001B07C8">
        <w:rPr>
          <w:rStyle w:val="Refdenotaalpie"/>
          <w:rFonts w:ascii="Bookman Old Style" w:hAnsi="Bookman Old Style" w:cs="Arial"/>
          <w:color w:val="000000"/>
        </w:rPr>
        <w:footnoteReference w:id="5"/>
      </w:r>
      <w:r w:rsidRPr="001B07C8">
        <w:rPr>
          <w:rFonts w:ascii="Bookman Old Style" w:hAnsi="Bookman Old Style" w:cs="Arial"/>
          <w:color w:val="000000"/>
        </w:rPr>
        <w:t xml:space="preserve">. </w:t>
      </w:r>
    </w:p>
    <w:p w:rsidR="001B07C8" w:rsidRPr="001B07C8" w:rsidRDefault="001B07C8" w:rsidP="001B07C8">
      <w:pPr>
        <w:spacing w:line="360" w:lineRule="auto"/>
        <w:ind w:firstLine="708"/>
        <w:jc w:val="both"/>
        <w:rPr>
          <w:rFonts w:ascii="Bookman Old Style" w:hAnsi="Bookman Old Style" w:cs="Arial"/>
          <w:color w:val="000000"/>
        </w:rPr>
      </w:pPr>
      <w:r w:rsidRPr="001B07C8">
        <w:rPr>
          <w:rFonts w:ascii="Bookman Old Style" w:hAnsi="Bookman Old Style" w:cs="Arial"/>
          <w:color w:val="000000"/>
        </w:rPr>
        <w:t>A decir de Bacigalupo, para ello es preciso tener en cuenta que la relación entre un tipo penal y otro deben ser de tal naturaleza que la relación de ambos mediante una única acción no debería dar lugar a la aplicación de las reglas del concurso ideal</w:t>
      </w:r>
      <w:r w:rsidRPr="001B07C8">
        <w:rPr>
          <w:rStyle w:val="Refdenotaalpie"/>
          <w:rFonts w:ascii="Bookman Old Style" w:hAnsi="Bookman Old Style" w:cs="Arial"/>
          <w:color w:val="000000"/>
        </w:rPr>
        <w:footnoteReference w:id="6"/>
      </w:r>
      <w:r w:rsidRPr="001B07C8">
        <w:rPr>
          <w:rFonts w:ascii="Bookman Old Style" w:hAnsi="Bookman Old Style" w:cs="Arial"/>
          <w:color w:val="000000"/>
        </w:rPr>
        <w:t>.</w:t>
      </w:r>
    </w:p>
    <w:p w:rsidR="008F47BA" w:rsidRDefault="001B07C8" w:rsidP="001B07C8">
      <w:pPr>
        <w:spacing w:line="360" w:lineRule="auto"/>
        <w:jc w:val="both"/>
        <w:rPr>
          <w:rFonts w:ascii="Bookman Old Style" w:hAnsi="Bookman Old Style" w:cs="Arial"/>
          <w:color w:val="000000"/>
        </w:rPr>
      </w:pPr>
      <w:r>
        <w:rPr>
          <w:rFonts w:ascii="Bookman Old Style" w:hAnsi="Bookman Old Style" w:cs="Arial"/>
          <w:color w:val="000000"/>
        </w:rPr>
        <w:tab/>
      </w:r>
      <w:r w:rsidRPr="001B07C8">
        <w:rPr>
          <w:rFonts w:ascii="Bookman Old Style" w:hAnsi="Bookman Old Style" w:cs="Arial"/>
          <w:color w:val="000000"/>
        </w:rPr>
        <w:t>Siguiendo la línea argumental descrita, se tiene que el delito de Marcaje</w:t>
      </w:r>
      <w:r>
        <w:rPr>
          <w:rFonts w:ascii="Bookman Old Style" w:hAnsi="Bookman Old Style" w:cs="Arial"/>
          <w:color w:val="000000"/>
        </w:rPr>
        <w:t xml:space="preserve"> y/o Reglaje,</w:t>
      </w:r>
      <w:r w:rsidRPr="001B07C8">
        <w:rPr>
          <w:rFonts w:ascii="Bookman Old Style" w:hAnsi="Bookman Old Style" w:cs="Arial"/>
          <w:color w:val="000000"/>
        </w:rPr>
        <w:t xml:space="preserve"> tiende a tutelar el bien jurídico - «Paz Pública», mientras que el tipo penal de Posesión ilegal de armas, la «Seguridad Pública», por lo que al proteger objetos jurídicos distintos, la solución correcta es el Concurso ideal de delitos y, no el Conflicto aparente de normas penales; siem</w:t>
      </w:r>
      <w:r>
        <w:rPr>
          <w:rFonts w:ascii="Bookman Old Style" w:hAnsi="Bookman Old Style" w:cs="Arial"/>
          <w:color w:val="000000"/>
        </w:rPr>
        <w:t>pre y cuando, quien es aprehendido</w:t>
      </w:r>
      <w:r w:rsidRPr="001B07C8">
        <w:rPr>
          <w:rFonts w:ascii="Bookman Old Style" w:hAnsi="Bookman Old Style" w:cs="Arial"/>
          <w:color w:val="000000"/>
        </w:rPr>
        <w:t xml:space="preserve"> con el arma de fuego, no cuente con la autorización estatal respectiva, pues si esto no es así, la negación concursal será una inferencia inevitable</w:t>
      </w:r>
    </w:p>
    <w:p w:rsidR="00FB441A" w:rsidRPr="00FB441A" w:rsidRDefault="00FB441A" w:rsidP="00FB441A">
      <w:pPr>
        <w:spacing w:line="360" w:lineRule="auto"/>
        <w:jc w:val="both"/>
        <w:rPr>
          <w:rFonts w:ascii="Bookman Old Style" w:hAnsi="Bookman Old Style" w:cs="Arial"/>
          <w:color w:val="000000"/>
        </w:rPr>
      </w:pPr>
      <w:r>
        <w:rPr>
          <w:rFonts w:ascii="Bookman Old Style" w:hAnsi="Bookman Old Style" w:cs="Arial"/>
          <w:color w:val="000000"/>
        </w:rPr>
        <w:tab/>
        <w:t>La posición asumida por esta Fiscalía Suprema, se corresponde con lineamientos jurisprudenciales, esbozados por la Corte Suprema; así, se tiene l</w:t>
      </w:r>
      <w:r>
        <w:rPr>
          <w:rFonts w:ascii="Bookman Old Style" w:hAnsi="Bookman Old Style"/>
        </w:rPr>
        <w:t xml:space="preserve">a resolución recaída en el RN N° 2921-2010-Puno, en la cual, </w:t>
      </w:r>
      <w:r w:rsidR="00A46D8C">
        <w:rPr>
          <w:rFonts w:ascii="Bookman Old Style" w:hAnsi="Bookman Old Style"/>
        </w:rPr>
        <w:t xml:space="preserve"> se afirma lo siguiente;</w:t>
      </w:r>
      <w:r>
        <w:rPr>
          <w:rFonts w:ascii="Bookman Old Style" w:hAnsi="Bookman Old Style"/>
        </w:rPr>
        <w:t xml:space="preserve"> "</w:t>
      </w:r>
      <w:r w:rsidRPr="00A61136">
        <w:rPr>
          <w:rFonts w:ascii="Bookman Old Style" w:hAnsi="Bookman Old Style"/>
          <w:i/>
        </w:rPr>
        <w:t xml:space="preserve">Se acreditó que el imputado causó la muerte de su conviviente y que con posterioridad a ello colocó una carga explosiva en su cuerpo, configurándose un concurso real (artículo 50 del CP) entre los delitos </w:t>
      </w:r>
      <w:r w:rsidRPr="00A61136">
        <w:rPr>
          <w:rFonts w:ascii="Bookman Old Style" w:hAnsi="Bookman Old Style"/>
          <w:i/>
        </w:rPr>
        <w:lastRenderedPageBreak/>
        <w:t>de parricidio y tenencia ilegal de materiales peligrosos, al concurrir dos hechos punibles que deben considerarse como delitos independientes, aunque no procede imponer la pena privativa de treinta y cinco años, pues el acusado le alcanza el beneficio de la responsabilidad restringida</w:t>
      </w:r>
      <w:r>
        <w:rPr>
          <w:rStyle w:val="Refdenotaalpie"/>
          <w:rFonts w:ascii="Bookman Old Style" w:hAnsi="Bookman Old Style"/>
        </w:rPr>
        <w:footnoteReference w:id="7"/>
      </w:r>
      <w:r>
        <w:rPr>
          <w:rFonts w:ascii="Bookman Old Style" w:hAnsi="Bookman Old Style"/>
        </w:rPr>
        <w:t>".</w:t>
      </w:r>
    </w:p>
    <w:p w:rsidR="00FB441A" w:rsidRDefault="00FB441A" w:rsidP="001B07C8">
      <w:pPr>
        <w:spacing w:line="360" w:lineRule="auto"/>
        <w:jc w:val="both"/>
        <w:rPr>
          <w:rFonts w:ascii="Bookman Old Style" w:hAnsi="Bookman Old Style"/>
        </w:rPr>
      </w:pPr>
    </w:p>
    <w:p w:rsidR="00053D4D" w:rsidRPr="006C7003" w:rsidRDefault="00053D4D" w:rsidP="00053D4D">
      <w:pPr>
        <w:spacing w:line="360" w:lineRule="auto"/>
        <w:ind w:firstLine="2124"/>
        <w:jc w:val="both"/>
        <w:rPr>
          <w:rFonts w:ascii="Bookman Old Style" w:hAnsi="Bookman Old Style" w:cs="Courier New"/>
        </w:rPr>
      </w:pPr>
    </w:p>
    <w:p w:rsidR="00053D4D" w:rsidRPr="006C7003" w:rsidRDefault="00053D4D" w:rsidP="00053D4D">
      <w:pPr>
        <w:spacing w:line="360" w:lineRule="auto"/>
        <w:ind w:firstLine="2124"/>
        <w:jc w:val="both"/>
        <w:rPr>
          <w:rFonts w:ascii="Bookman Old Style" w:hAnsi="Bookman Old Style" w:cs="Tahoma"/>
          <w:iCs/>
        </w:rPr>
      </w:pPr>
      <w:r w:rsidRPr="006C7003">
        <w:rPr>
          <w:rFonts w:ascii="Bookman Old Style" w:hAnsi="Bookman Old Style" w:cs="Tahoma"/>
          <w:iCs/>
        </w:rPr>
        <w:t xml:space="preserve">En consecuencia, esta Fiscalía Suprema en lo Penal, absolviendo la Consulta: </w:t>
      </w:r>
      <w:r w:rsidRPr="006C7003">
        <w:rPr>
          <w:rFonts w:ascii="Bookman Old Style" w:hAnsi="Bookman Old Style" w:cs="Tahoma"/>
          <w:b/>
          <w:iCs/>
        </w:rPr>
        <w:t>DESAPRUEBA</w:t>
      </w:r>
      <w:r w:rsidRPr="006C7003">
        <w:rPr>
          <w:rFonts w:ascii="Bookman Old Style" w:hAnsi="Bookman Old Style" w:cs="Tahoma"/>
          <w:iCs/>
        </w:rPr>
        <w:t xml:space="preserve"> el dictamen de folios</w:t>
      </w:r>
      <w:r w:rsidR="008C0DBC">
        <w:rPr>
          <w:rFonts w:ascii="Bookman Old Style" w:hAnsi="Bookman Old Style" w:cs="Tahoma"/>
          <w:iCs/>
        </w:rPr>
        <w:t xml:space="preserve"> 548/557, de fecha 20 de enero de 2014, expedida por la Séptima</w:t>
      </w:r>
      <w:r>
        <w:rPr>
          <w:rFonts w:ascii="Bookman Old Style" w:hAnsi="Bookman Old Style" w:cs="Tahoma"/>
          <w:iCs/>
        </w:rPr>
        <w:t xml:space="preserve"> </w:t>
      </w:r>
      <w:r w:rsidRPr="006C7003">
        <w:rPr>
          <w:rFonts w:ascii="Bookman Old Style" w:hAnsi="Bookman Old Style" w:cs="Tahoma"/>
          <w:iCs/>
        </w:rPr>
        <w:t xml:space="preserve">Fiscalía Superior </w:t>
      </w:r>
      <w:r w:rsidR="008C0DBC">
        <w:rPr>
          <w:rFonts w:ascii="Bookman Old Style" w:hAnsi="Bookman Old Style" w:cs="Tahoma"/>
          <w:iCs/>
        </w:rPr>
        <w:t>en lo Penal de Lima</w:t>
      </w:r>
      <w:r w:rsidRPr="006C7003">
        <w:rPr>
          <w:rFonts w:ascii="Bookman Old Style" w:hAnsi="Bookman Old Style" w:cs="Tahoma"/>
          <w:iCs/>
        </w:rPr>
        <w:t>; devolviendo los actuados a la Sala de su Presidencia, a efectos que sean remitidos al Fiscal Superior del indicado despacho, quien deberá emitir la correspondiente Acusación.</w:t>
      </w:r>
    </w:p>
    <w:p w:rsidR="00053D4D" w:rsidRPr="006C7003" w:rsidRDefault="00053D4D" w:rsidP="00053D4D">
      <w:pPr>
        <w:spacing w:line="360" w:lineRule="auto"/>
        <w:ind w:firstLine="2124"/>
        <w:jc w:val="both"/>
        <w:rPr>
          <w:rFonts w:ascii="Bookman Old Style" w:hAnsi="Bookman Old Style" w:cs="Tahoma"/>
          <w:iCs/>
        </w:rPr>
      </w:pPr>
    </w:p>
    <w:p w:rsidR="00053D4D" w:rsidRPr="006C7003" w:rsidRDefault="00053D4D" w:rsidP="00053D4D">
      <w:pPr>
        <w:spacing w:line="360" w:lineRule="auto"/>
        <w:ind w:firstLine="2124"/>
        <w:jc w:val="both"/>
        <w:rPr>
          <w:rFonts w:ascii="Bookman Old Style" w:hAnsi="Bookman Old Style"/>
          <w:i/>
        </w:rPr>
      </w:pPr>
      <w:r w:rsidRPr="006C7003">
        <w:rPr>
          <w:rFonts w:ascii="Bookman Old Style" w:hAnsi="Bookman Old Style"/>
          <w:i/>
        </w:rPr>
        <w:tab/>
      </w:r>
      <w:r w:rsidRPr="006C7003">
        <w:rPr>
          <w:rFonts w:ascii="Bookman Old Style" w:hAnsi="Bookman Old Style"/>
          <w:i/>
        </w:rPr>
        <w:tab/>
      </w:r>
      <w:r w:rsidRPr="006C7003">
        <w:rPr>
          <w:rFonts w:ascii="Bookman Old Style" w:hAnsi="Bookman Old Style"/>
          <w:i/>
        </w:rPr>
        <w:tab/>
      </w:r>
      <w:r w:rsidRPr="006C7003">
        <w:rPr>
          <w:rFonts w:ascii="Bookman Old Style" w:hAnsi="Bookman Old Style"/>
          <w:i/>
        </w:rPr>
        <w:tab/>
      </w:r>
      <w:r>
        <w:rPr>
          <w:rFonts w:ascii="Bookman Old Style" w:hAnsi="Bookman Old Style"/>
        </w:rPr>
        <w:t>Lima, 18 de agosto</w:t>
      </w:r>
      <w:r w:rsidRPr="006C7003">
        <w:rPr>
          <w:rFonts w:ascii="Bookman Old Style" w:hAnsi="Bookman Old Style"/>
        </w:rPr>
        <w:t xml:space="preserve"> de 2014.</w:t>
      </w:r>
    </w:p>
    <w:p w:rsidR="00053D4D" w:rsidRPr="006767E6" w:rsidRDefault="00053D4D" w:rsidP="00053D4D">
      <w:pPr>
        <w:pStyle w:val="Textoindependiente2"/>
        <w:spacing w:line="360" w:lineRule="auto"/>
        <w:rPr>
          <w:rFonts w:ascii="Century Gothic" w:hAnsi="Century Gothic"/>
          <w:i w:val="0"/>
          <w:sz w:val="18"/>
          <w:szCs w:val="18"/>
        </w:rPr>
      </w:pPr>
      <w:r>
        <w:rPr>
          <w:rFonts w:ascii="Century Gothic" w:hAnsi="Century Gothic"/>
          <w:i w:val="0"/>
          <w:sz w:val="18"/>
          <w:szCs w:val="18"/>
        </w:rPr>
        <w:t>JAPB/</w:t>
      </w:r>
      <w:proofErr w:type="spellStart"/>
      <w:r>
        <w:rPr>
          <w:rFonts w:ascii="Century Gothic" w:hAnsi="Century Gothic"/>
          <w:i w:val="0"/>
          <w:sz w:val="18"/>
          <w:szCs w:val="18"/>
        </w:rPr>
        <w:t>arpcf</w:t>
      </w:r>
      <w:proofErr w:type="spellEnd"/>
    </w:p>
    <w:p w:rsidR="00053D4D" w:rsidRDefault="00053D4D" w:rsidP="00053D4D"/>
    <w:p w:rsidR="00114AF4" w:rsidRPr="001B07C8" w:rsidRDefault="00114AF4" w:rsidP="001B07C8">
      <w:pPr>
        <w:spacing w:line="360" w:lineRule="auto"/>
        <w:jc w:val="both"/>
        <w:rPr>
          <w:rFonts w:ascii="Bookman Old Style" w:hAnsi="Bookman Old Style"/>
        </w:rPr>
      </w:pPr>
    </w:p>
    <w:sectPr w:rsidR="00114AF4" w:rsidRPr="001B07C8" w:rsidSect="008F47B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7C8" w:rsidRDefault="001B07C8" w:rsidP="001B07C8">
      <w:r>
        <w:separator/>
      </w:r>
    </w:p>
  </w:endnote>
  <w:endnote w:type="continuationSeparator" w:id="1">
    <w:p w:rsidR="001B07C8" w:rsidRDefault="001B07C8" w:rsidP="001B07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7C8" w:rsidRDefault="001B07C8" w:rsidP="001B07C8">
      <w:r>
        <w:separator/>
      </w:r>
    </w:p>
  </w:footnote>
  <w:footnote w:type="continuationSeparator" w:id="1">
    <w:p w:rsidR="001B07C8" w:rsidRDefault="001B07C8" w:rsidP="001B07C8">
      <w:r>
        <w:continuationSeparator/>
      </w:r>
    </w:p>
  </w:footnote>
  <w:footnote w:id="2">
    <w:p w:rsidR="001B07C8" w:rsidRPr="001B07C8" w:rsidRDefault="001B07C8" w:rsidP="001B07C8">
      <w:pPr>
        <w:pStyle w:val="Textonotapie"/>
        <w:jc w:val="both"/>
        <w:rPr>
          <w:rFonts w:ascii="Century Gothic" w:hAnsi="Century Gothic" w:cs="Tahoma"/>
          <w:lang w:val="es-PE"/>
        </w:rPr>
      </w:pPr>
      <w:r w:rsidRPr="001B07C8">
        <w:rPr>
          <w:rStyle w:val="Refdenotaalpie"/>
          <w:rFonts w:ascii="Century Gothic" w:hAnsi="Century Gothic"/>
        </w:rPr>
        <w:footnoteRef/>
      </w:r>
      <w:r w:rsidRPr="001B07C8">
        <w:rPr>
          <w:rFonts w:ascii="Century Gothic" w:hAnsi="Century Gothic"/>
        </w:rPr>
        <w:t xml:space="preserve"> </w:t>
      </w:r>
      <w:r w:rsidRPr="001B07C8">
        <w:rPr>
          <w:rFonts w:ascii="Century Gothic" w:hAnsi="Century Gothic" w:cs="Tahoma"/>
          <w:lang w:val="es-PE"/>
        </w:rPr>
        <w:t xml:space="preserve"> . Quintero Olivares, G.; </w:t>
      </w:r>
      <w:r w:rsidRPr="001B07C8">
        <w:rPr>
          <w:rFonts w:ascii="Century Gothic" w:hAnsi="Century Gothic" w:cs="Tahoma"/>
          <w:i/>
          <w:lang w:val="es-PE"/>
        </w:rPr>
        <w:t xml:space="preserve">Manual de Derecho Penal. Parte General, </w:t>
      </w:r>
      <w:r w:rsidRPr="001B07C8">
        <w:rPr>
          <w:rFonts w:ascii="Century Gothic" w:hAnsi="Century Gothic" w:cs="Tahoma"/>
          <w:lang w:val="es-PE"/>
        </w:rPr>
        <w:t>cit., p. 755.</w:t>
      </w:r>
    </w:p>
  </w:footnote>
  <w:footnote w:id="3">
    <w:p w:rsidR="001B07C8" w:rsidRPr="001B07C8" w:rsidRDefault="001B07C8" w:rsidP="001B07C8">
      <w:pPr>
        <w:pStyle w:val="Textonotapie"/>
        <w:jc w:val="both"/>
        <w:rPr>
          <w:rFonts w:ascii="Century Gothic" w:hAnsi="Century Gothic" w:cs="Tahoma"/>
          <w:lang w:val="es-PE"/>
        </w:rPr>
      </w:pPr>
      <w:r w:rsidRPr="001B07C8">
        <w:rPr>
          <w:rStyle w:val="Refdenotaalpie"/>
          <w:rFonts w:ascii="Century Gothic" w:hAnsi="Century Gothic"/>
        </w:rPr>
        <w:footnoteRef/>
      </w:r>
      <w:r w:rsidRPr="001B07C8">
        <w:rPr>
          <w:rFonts w:ascii="Century Gothic" w:hAnsi="Century Gothic"/>
        </w:rPr>
        <w:t xml:space="preserve"> </w:t>
      </w:r>
      <w:r w:rsidRPr="001B07C8">
        <w:rPr>
          <w:rFonts w:ascii="Century Gothic" w:hAnsi="Century Gothic" w:cs="Tahoma"/>
          <w:lang w:val="es-PE"/>
        </w:rPr>
        <w:t xml:space="preserve"> . Romero Soto, L.E.; </w:t>
      </w:r>
      <w:r w:rsidRPr="001B07C8">
        <w:rPr>
          <w:rFonts w:ascii="Century Gothic" w:hAnsi="Century Gothic" w:cs="Tahoma"/>
          <w:i/>
          <w:lang w:val="es-PE"/>
        </w:rPr>
        <w:t xml:space="preserve">Concurso Aparente de Leyes…, </w:t>
      </w:r>
      <w:r w:rsidRPr="001B07C8">
        <w:rPr>
          <w:rFonts w:ascii="Century Gothic" w:hAnsi="Century Gothic" w:cs="Tahoma"/>
          <w:lang w:val="es-PE"/>
        </w:rPr>
        <w:t>cit., p. 42.</w:t>
      </w:r>
    </w:p>
  </w:footnote>
  <w:footnote w:id="4">
    <w:p w:rsidR="001B07C8" w:rsidRPr="001B07C8" w:rsidRDefault="001B07C8" w:rsidP="001B07C8">
      <w:pPr>
        <w:pStyle w:val="Textonotapie"/>
        <w:jc w:val="both"/>
        <w:rPr>
          <w:rFonts w:ascii="Century Gothic" w:hAnsi="Century Gothic" w:cs="Tahoma"/>
          <w:lang w:val="es-PE"/>
        </w:rPr>
      </w:pPr>
      <w:r w:rsidRPr="001B07C8">
        <w:rPr>
          <w:rStyle w:val="Refdenotaalpie"/>
          <w:rFonts w:ascii="Century Gothic" w:hAnsi="Century Gothic"/>
        </w:rPr>
        <w:footnoteRef/>
      </w:r>
      <w:r w:rsidRPr="001B07C8">
        <w:rPr>
          <w:rFonts w:ascii="Century Gothic" w:hAnsi="Century Gothic"/>
        </w:rPr>
        <w:t xml:space="preserve"> </w:t>
      </w:r>
      <w:r w:rsidRPr="001B07C8">
        <w:rPr>
          <w:rFonts w:ascii="Century Gothic" w:hAnsi="Century Gothic" w:cs="Tahoma"/>
          <w:lang w:val="es-PE"/>
        </w:rPr>
        <w:t xml:space="preserve"> . Peña Cabrera Freyre, A.R.; </w:t>
      </w:r>
      <w:r w:rsidRPr="001B07C8">
        <w:rPr>
          <w:rFonts w:ascii="Century Gothic" w:hAnsi="Century Gothic" w:cs="Tahoma"/>
          <w:i/>
          <w:lang w:val="es-PE"/>
        </w:rPr>
        <w:t xml:space="preserve">Derecho Penal. Parte General, </w:t>
      </w:r>
      <w:r w:rsidRPr="001B07C8">
        <w:rPr>
          <w:rFonts w:ascii="Century Gothic" w:hAnsi="Century Gothic" w:cs="Tahoma"/>
          <w:lang w:val="es-PE"/>
        </w:rPr>
        <w:t>T.I,</w:t>
      </w:r>
      <w:r w:rsidRPr="001B07C8">
        <w:rPr>
          <w:rFonts w:ascii="Century Gothic" w:hAnsi="Century Gothic" w:cs="Tahoma"/>
          <w:i/>
          <w:lang w:val="es-PE"/>
        </w:rPr>
        <w:t xml:space="preserve"> </w:t>
      </w:r>
      <w:r w:rsidRPr="001B07C8">
        <w:rPr>
          <w:rFonts w:ascii="Century Gothic" w:hAnsi="Century Gothic" w:cs="Tahoma"/>
          <w:lang w:val="es-PE"/>
        </w:rPr>
        <w:t>cit., p. 988.</w:t>
      </w:r>
    </w:p>
  </w:footnote>
  <w:footnote w:id="5">
    <w:p w:rsidR="001B07C8" w:rsidRPr="001B07C8" w:rsidRDefault="001B07C8" w:rsidP="001B07C8">
      <w:pPr>
        <w:pStyle w:val="Textonotapie"/>
        <w:jc w:val="both"/>
        <w:rPr>
          <w:rFonts w:ascii="Century Gothic" w:hAnsi="Century Gothic" w:cs="Tahoma"/>
          <w:lang w:val="es-PE"/>
        </w:rPr>
      </w:pPr>
      <w:r w:rsidRPr="001B07C8">
        <w:rPr>
          <w:rStyle w:val="Refdenotaalpie"/>
          <w:rFonts w:ascii="Century Gothic" w:hAnsi="Century Gothic"/>
        </w:rPr>
        <w:footnoteRef/>
      </w:r>
      <w:r w:rsidRPr="001B07C8">
        <w:rPr>
          <w:rFonts w:ascii="Century Gothic" w:hAnsi="Century Gothic"/>
        </w:rPr>
        <w:t xml:space="preserve"> </w:t>
      </w:r>
      <w:r w:rsidRPr="001B07C8">
        <w:rPr>
          <w:rFonts w:ascii="Century Gothic" w:hAnsi="Century Gothic" w:cs="Tahoma"/>
          <w:lang w:val="es-PE"/>
        </w:rPr>
        <w:t xml:space="preserve"> . </w:t>
      </w:r>
      <w:proofErr w:type="spellStart"/>
      <w:r w:rsidRPr="001B07C8">
        <w:rPr>
          <w:rFonts w:ascii="Century Gothic" w:hAnsi="Century Gothic" w:cs="Tahoma"/>
          <w:lang w:val="es-PE"/>
        </w:rPr>
        <w:t>Maqueda</w:t>
      </w:r>
      <w:proofErr w:type="spellEnd"/>
      <w:r w:rsidRPr="001B07C8">
        <w:rPr>
          <w:rFonts w:ascii="Century Gothic" w:hAnsi="Century Gothic" w:cs="Tahoma"/>
          <w:lang w:val="es-PE"/>
        </w:rPr>
        <w:t xml:space="preserve"> Abreu, Mª. L. y otros; </w:t>
      </w:r>
      <w:r w:rsidRPr="001B07C8">
        <w:rPr>
          <w:rFonts w:ascii="Century Gothic" w:hAnsi="Century Gothic" w:cs="Tahoma"/>
          <w:i/>
          <w:lang w:val="es-PE"/>
        </w:rPr>
        <w:t xml:space="preserve">Derecho Penal. Parte General, </w:t>
      </w:r>
      <w:r w:rsidRPr="001B07C8">
        <w:rPr>
          <w:rFonts w:ascii="Century Gothic" w:hAnsi="Century Gothic" w:cs="Tahoma"/>
          <w:lang w:val="es-PE"/>
        </w:rPr>
        <w:t xml:space="preserve">cit., p. 860. </w:t>
      </w:r>
    </w:p>
  </w:footnote>
  <w:footnote w:id="6">
    <w:p w:rsidR="001B07C8" w:rsidRPr="001B07C8" w:rsidRDefault="001B07C8" w:rsidP="001B07C8">
      <w:pPr>
        <w:pStyle w:val="Textonotapie"/>
        <w:jc w:val="both"/>
        <w:rPr>
          <w:rFonts w:ascii="Century Gothic" w:hAnsi="Century Gothic" w:cs="Tahoma"/>
          <w:lang w:val="es-PE"/>
        </w:rPr>
      </w:pPr>
      <w:r w:rsidRPr="001B07C8">
        <w:rPr>
          <w:rStyle w:val="Refdenotaalpie"/>
          <w:rFonts w:ascii="Century Gothic" w:hAnsi="Century Gothic"/>
        </w:rPr>
        <w:footnoteRef/>
      </w:r>
      <w:r w:rsidRPr="001B07C8">
        <w:rPr>
          <w:rFonts w:ascii="Century Gothic" w:hAnsi="Century Gothic"/>
        </w:rPr>
        <w:t xml:space="preserve"> </w:t>
      </w:r>
      <w:r w:rsidRPr="001B07C8">
        <w:rPr>
          <w:rFonts w:ascii="Century Gothic" w:hAnsi="Century Gothic" w:cs="Tahoma"/>
          <w:lang w:val="es-PE"/>
        </w:rPr>
        <w:t xml:space="preserve"> . Bacigalupo, E.; </w:t>
      </w:r>
      <w:r w:rsidRPr="001B07C8">
        <w:rPr>
          <w:rFonts w:ascii="Century Gothic" w:hAnsi="Century Gothic" w:cs="Tahoma"/>
          <w:i/>
          <w:lang w:val="es-PE"/>
        </w:rPr>
        <w:t xml:space="preserve">Derecho Penal. Parte General, </w:t>
      </w:r>
      <w:r w:rsidRPr="001B07C8">
        <w:rPr>
          <w:rFonts w:ascii="Century Gothic" w:hAnsi="Century Gothic" w:cs="Tahoma"/>
          <w:lang w:val="es-PE"/>
        </w:rPr>
        <w:t>cit., p. 988.</w:t>
      </w:r>
    </w:p>
  </w:footnote>
  <w:footnote w:id="7">
    <w:p w:rsidR="00FB441A" w:rsidRPr="00285F45" w:rsidRDefault="00FB441A" w:rsidP="00FB441A">
      <w:pPr>
        <w:pStyle w:val="Textonotapie"/>
        <w:jc w:val="both"/>
        <w:rPr>
          <w:rFonts w:ascii="Century Gothic" w:hAnsi="Century Gothic"/>
        </w:rPr>
      </w:pPr>
      <w:r w:rsidRPr="00285F45">
        <w:rPr>
          <w:rStyle w:val="Refdenotaalpie"/>
          <w:rFonts w:ascii="Century Gothic" w:hAnsi="Century Gothic"/>
        </w:rPr>
        <w:footnoteRef/>
      </w:r>
      <w:r w:rsidRPr="00285F45">
        <w:rPr>
          <w:rFonts w:ascii="Century Gothic" w:hAnsi="Century Gothic"/>
        </w:rPr>
        <w:t xml:space="preserve">  . En: Gaceta Penal &amp; Procesal Penal, Tomo 28, octubre 2011, cit., p.153.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B07C8"/>
    <w:rsid w:val="000447B4"/>
    <w:rsid w:val="00053D4D"/>
    <w:rsid w:val="000B65BC"/>
    <w:rsid w:val="000D00A0"/>
    <w:rsid w:val="00114AF4"/>
    <w:rsid w:val="00140E4D"/>
    <w:rsid w:val="001B07C8"/>
    <w:rsid w:val="002E0AAE"/>
    <w:rsid w:val="00815CEF"/>
    <w:rsid w:val="008C0DBC"/>
    <w:rsid w:val="008F47BA"/>
    <w:rsid w:val="009316A8"/>
    <w:rsid w:val="00A46D8C"/>
    <w:rsid w:val="00AF59CE"/>
    <w:rsid w:val="00DE063B"/>
    <w:rsid w:val="00F20250"/>
    <w:rsid w:val="00FB441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C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1B07C8"/>
    <w:rPr>
      <w:sz w:val="20"/>
      <w:szCs w:val="20"/>
    </w:rPr>
  </w:style>
  <w:style w:type="character" w:customStyle="1" w:styleId="TextonotapieCar">
    <w:name w:val="Texto nota pie Car"/>
    <w:basedOn w:val="Fuentedeprrafopredeter"/>
    <w:link w:val="Textonotapie"/>
    <w:uiPriority w:val="99"/>
    <w:semiHidden/>
    <w:rsid w:val="001B07C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1B07C8"/>
    <w:rPr>
      <w:vertAlign w:val="superscript"/>
    </w:rPr>
  </w:style>
  <w:style w:type="paragraph" w:styleId="Textoindependiente2">
    <w:name w:val="Body Text 2"/>
    <w:basedOn w:val="Normal"/>
    <w:link w:val="Textoindependiente2Car"/>
    <w:rsid w:val="002E0AAE"/>
    <w:pPr>
      <w:jc w:val="both"/>
    </w:pPr>
    <w:rPr>
      <w:rFonts w:ascii="Bookman Old Style" w:hAnsi="Bookman Old Style"/>
      <w:i/>
      <w:sz w:val="20"/>
      <w:szCs w:val="20"/>
    </w:rPr>
  </w:style>
  <w:style w:type="character" w:customStyle="1" w:styleId="Textoindependiente2Car">
    <w:name w:val="Texto independiente 2 Car"/>
    <w:basedOn w:val="Fuentedeprrafopredeter"/>
    <w:link w:val="Textoindependiente2"/>
    <w:rsid w:val="002E0AAE"/>
    <w:rPr>
      <w:rFonts w:ascii="Bookman Old Style" w:eastAsia="Times New Roman" w:hAnsi="Bookman Old Style"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dc:creator>
  <cp:lastModifiedBy>Alonso</cp:lastModifiedBy>
  <cp:revision>2</cp:revision>
  <dcterms:created xsi:type="dcterms:W3CDTF">2020-04-14T17:12:00Z</dcterms:created>
  <dcterms:modified xsi:type="dcterms:W3CDTF">2020-04-14T17:12:00Z</dcterms:modified>
</cp:coreProperties>
</file>